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  <w:bookmarkStart w:id="0" w:name="_GoBack"/>
      <w:bookmarkEnd w:id="0"/>
      <w:r w:rsidRPr="00310795">
        <w:rPr>
          <w:b/>
          <w:sz w:val="28"/>
          <w:szCs w:val="28"/>
        </w:rPr>
        <w:t xml:space="preserve">KALİTE YÖNETİM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294"/>
        <w:gridCol w:w="142"/>
        <w:gridCol w:w="283"/>
        <w:gridCol w:w="709"/>
        <w:gridCol w:w="412"/>
        <w:gridCol w:w="297"/>
        <w:gridCol w:w="2410"/>
      </w:tblGrid>
      <w:tr w:rsidR="00CA3670" w:rsidRPr="00F64247" w:rsidTr="002E063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96754A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GTHB.59.İLM.KYS.036</w:t>
            </w:r>
          </w:p>
        </w:tc>
      </w:tr>
      <w:tr w:rsidR="00CA3670" w:rsidRPr="00352956" w:rsidTr="002E063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10"/>
            <w:vAlign w:val="center"/>
          </w:tcPr>
          <w:p w:rsidR="00CA3670" w:rsidRPr="004B4A7D" w:rsidRDefault="00620CE5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 xml:space="preserve">DENETİM İŞLEMLERİ TEMEL </w:t>
            </w:r>
            <w:r w:rsidR="00CA3670" w:rsidRPr="00EA2AD8">
              <w:rPr>
                <w:b/>
                <w:i/>
              </w:rPr>
              <w:t xml:space="preserve"> SÜRECİ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96754A">
              <w:rPr>
                <w:bCs/>
                <w:szCs w:val="20"/>
              </w:rPr>
              <w:t>36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4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4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4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4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1"/>
            <w:vAlign w:val="center"/>
          </w:tcPr>
          <w:p w:rsidR="00CA3670" w:rsidRPr="004B4A7D" w:rsidRDefault="00341E14" w:rsidP="00341E14">
            <w:r>
              <w:t xml:space="preserve">İhracattan Geri Gelen Ürün </w:t>
            </w:r>
            <w:r w:rsidR="007A51A4">
              <w:t>B</w:t>
            </w:r>
            <w:r>
              <w:t>aşvuru Dosyası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1"/>
            <w:vAlign w:val="center"/>
          </w:tcPr>
          <w:p w:rsidR="00CA3670" w:rsidRPr="004B4A7D" w:rsidRDefault="00341E14" w:rsidP="00AB42DA">
            <w:r>
              <w:t xml:space="preserve">Uygunluk yada uygunsuzluk Yazısının </w:t>
            </w:r>
            <w:r w:rsidR="00AB42DA">
              <w:t>Gümrüğe</w:t>
            </w:r>
            <w:r>
              <w:t xml:space="preserve"> Bildirilmesi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7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70112F" w:rsidRPr="0070112F" w:rsidRDefault="0070112F" w:rsidP="002E063F">
            <w:pPr>
              <w:ind w:left="172"/>
              <w:rPr>
                <w:b/>
              </w:rPr>
            </w:pPr>
            <w:r w:rsidRPr="0070112F">
              <w:rPr>
                <w:b/>
              </w:rPr>
              <w:t>Bitkisel Gıda ve Yemin İhracatında sağlık sertifikası Düzenlenmesi ve ihracattan geri Dönen Ürünler için Uygulama Yönetmeliği</w:t>
            </w:r>
            <w:r>
              <w:rPr>
                <w:b/>
              </w:rPr>
              <w:t xml:space="preserve"> (Resmi Gazete:25 Kasım 2011- 281239)</w:t>
            </w:r>
          </w:p>
          <w:p w:rsidR="00A84804" w:rsidRPr="00F54B8F" w:rsidRDefault="00BB3E30" w:rsidP="002E063F">
            <w:pPr>
              <w:ind w:left="17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İHRACATTAN GERİ DÖNEN </w:t>
            </w:r>
            <w:r w:rsidR="008E312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ÜRÜN </w:t>
            </w:r>
            <w:r w:rsidR="00F54B8F" w:rsidRPr="00F54B8F">
              <w:rPr>
                <w:b/>
                <w:u w:val="single"/>
              </w:rPr>
              <w:t xml:space="preserve"> </w:t>
            </w:r>
            <w:r w:rsidR="00371F32" w:rsidRPr="00F54B8F">
              <w:rPr>
                <w:b/>
                <w:u w:val="single"/>
              </w:rPr>
              <w:t xml:space="preserve"> SÜRECİ:</w:t>
            </w:r>
          </w:p>
          <w:p w:rsidR="00F54B8F" w:rsidRDefault="00D96AA5" w:rsidP="00082558">
            <w:pPr>
              <w:ind w:left="172"/>
              <w:jc w:val="both"/>
            </w:pPr>
            <w:r w:rsidRPr="0070112F">
              <w:rPr>
                <w:b/>
              </w:rPr>
              <w:t xml:space="preserve">           1</w:t>
            </w:r>
            <w:r w:rsidR="0070112F">
              <w:rPr>
                <w:b/>
              </w:rPr>
              <w:t>-</w:t>
            </w:r>
            <w:r w:rsidR="00082558">
              <w:t xml:space="preserve"> </w:t>
            </w:r>
            <w:r w:rsidR="004775E4" w:rsidRPr="004775E4">
              <w:t>Firma temsilcisi İhracattan geri gelen ürünün yurtiçine girmesi ile ilgili başvuruda bulunur.</w:t>
            </w:r>
          </w:p>
          <w:p w:rsidR="00A94F0D" w:rsidRPr="00044283" w:rsidRDefault="00A94F0D" w:rsidP="00082558">
            <w:pPr>
              <w:ind w:left="172"/>
              <w:jc w:val="both"/>
              <w:rPr>
                <w:b/>
              </w:rPr>
            </w:pPr>
            <w:r w:rsidRPr="00044283">
              <w:rPr>
                <w:b/>
              </w:rPr>
              <w:t>Başvuruda;</w:t>
            </w:r>
          </w:p>
          <w:p w:rsidR="00A94F0D" w:rsidRDefault="0070112F" w:rsidP="00082558">
            <w:pPr>
              <w:ind w:left="172"/>
              <w:jc w:val="both"/>
            </w:pPr>
            <w:r>
              <w:t>a)</w:t>
            </w:r>
            <w:r w:rsidR="00A94F0D">
              <w:t>İlgili gümrük müdürlüğünden il müdürlüğüne hitaben yazılmış uygunluk yazısı</w:t>
            </w:r>
          </w:p>
          <w:p w:rsidR="00A94F0D" w:rsidRDefault="0070112F" w:rsidP="00082558">
            <w:pPr>
              <w:ind w:left="172"/>
              <w:jc w:val="both"/>
            </w:pPr>
            <w:r>
              <w:t>b)</w:t>
            </w:r>
            <w:r w:rsidR="00A94F0D">
              <w:t>İhracata ilişkin gümrük beyannamesi (çıkış ve giriş beyannameleri)</w:t>
            </w:r>
          </w:p>
          <w:p w:rsidR="00A94F0D" w:rsidRDefault="0070112F" w:rsidP="00082558">
            <w:pPr>
              <w:ind w:left="172"/>
              <w:jc w:val="both"/>
            </w:pPr>
            <w:r>
              <w:t>c)</w:t>
            </w:r>
            <w:r w:rsidR="00A94F0D">
              <w:t>Varsa ihracat aşamasında Bakanlığımızdan alınmış sertifikalar, ürün organik ise organik sertifikası</w:t>
            </w:r>
          </w:p>
          <w:p w:rsidR="00A94F0D" w:rsidRDefault="0070112F" w:rsidP="00082558">
            <w:pPr>
              <w:ind w:left="172"/>
              <w:jc w:val="both"/>
            </w:pPr>
            <w:r>
              <w:t>ç)</w:t>
            </w:r>
            <w:r w:rsidR="00A94F0D">
              <w:t>Ürüne ait çıkış faturası, varsa giriş faturası (aslı yada fotokopileri)</w:t>
            </w:r>
          </w:p>
          <w:p w:rsidR="00BE5ED6" w:rsidRDefault="0070112F" w:rsidP="00082558">
            <w:pPr>
              <w:ind w:left="172"/>
              <w:jc w:val="both"/>
            </w:pPr>
            <w:r>
              <w:lastRenderedPageBreak/>
              <w:t>d)</w:t>
            </w:r>
            <w:r w:rsidR="00A94F0D">
              <w:t xml:space="preserve">İthal edilen ürünün ihraç edildikten sonra  geri dönmesi </w:t>
            </w:r>
            <w:r w:rsidR="00A94F0D" w:rsidRPr="00BE5ED6">
              <w:t>halinde</w:t>
            </w:r>
            <w:r w:rsidR="00BE5ED6">
              <w:t xml:space="preserve"> fiili ithalat aşamasında  verilen gümrük belge numarası ve GGBS’ de bu belge numarasına karşılık gelen  sevkiyat bildirim numarasının verilmesi.</w:t>
            </w:r>
          </w:p>
          <w:p w:rsidR="00A94F0D" w:rsidRDefault="00A94F0D" w:rsidP="00082558">
            <w:pPr>
              <w:ind w:left="172"/>
              <w:jc w:val="both"/>
            </w:pPr>
            <w:r>
              <w:t>-</w:t>
            </w:r>
            <w:r w:rsidR="0070112F">
              <w:t>Belgelerin tamamlanmasının ardından ihracattan geri dönen ürünün g</w:t>
            </w:r>
            <w:r>
              <w:t>eri dönme nedeni</w:t>
            </w:r>
            <w:r w:rsidR="0070112F">
              <w:t xml:space="preserve"> de dikkate alınarak aynı ürün olduğuna dair tespit yapıldıktan sonra ürün resmi kontrole tabii tutulur.</w:t>
            </w:r>
            <w:r>
              <w:t xml:space="preserve"> </w:t>
            </w:r>
          </w:p>
          <w:p w:rsidR="00C476E0" w:rsidRDefault="00D96AA5" w:rsidP="002E063F">
            <w:pPr>
              <w:ind w:left="172"/>
            </w:pPr>
            <w:r>
              <w:t xml:space="preserve">       </w:t>
            </w:r>
            <w:r w:rsidR="00C476E0">
              <w:t xml:space="preserve"> </w:t>
            </w:r>
            <w:r>
              <w:t xml:space="preserve">   2-</w:t>
            </w:r>
            <w:r w:rsidR="00082558">
              <w:t>Başvuru dosyası Gıda ve Yem  Şube Müdürlüğüne gelir, kayda girer ve ilgili teknik personele Şube Müdürü tarafından havale edilir.</w:t>
            </w:r>
          </w:p>
          <w:p w:rsidR="00082558" w:rsidRDefault="00C476E0" w:rsidP="00FD51E7">
            <w:pPr>
              <w:ind w:left="172"/>
              <w:jc w:val="both"/>
            </w:pPr>
            <w:r>
              <w:t xml:space="preserve">      </w:t>
            </w:r>
            <w:r w:rsidR="00E52D62">
              <w:t xml:space="preserve"> </w:t>
            </w:r>
            <w:r>
              <w:t xml:space="preserve">   </w:t>
            </w:r>
            <w:r w:rsidR="00130EE3">
              <w:t xml:space="preserve">  3-</w:t>
            </w:r>
            <w:r w:rsidR="00951E53">
              <w:t>İlgili personel</w:t>
            </w:r>
            <w:r w:rsidR="00082558">
              <w:t>,</w:t>
            </w:r>
            <w:r w:rsidR="001E00E8">
              <w:t xml:space="preserve"> </w:t>
            </w:r>
            <w:r w:rsidR="00082558">
              <w:t xml:space="preserve">başvuru </w:t>
            </w:r>
            <w:r w:rsidR="006E29C1">
              <w:t xml:space="preserve">dosyasındaki </w:t>
            </w:r>
            <w:r w:rsidR="0092137B">
              <w:t>evraklarda eksiklik olup olmadığını ve evrakların mevzuata uygun olup olmadığını kontrol eder.</w:t>
            </w:r>
          </w:p>
          <w:p w:rsidR="006E29C1" w:rsidRDefault="00FD770C" w:rsidP="00FD51E7">
            <w:pPr>
              <w:ind w:left="172"/>
              <w:jc w:val="both"/>
            </w:pPr>
            <w:r>
              <w:t xml:space="preserve">           4-</w:t>
            </w:r>
            <w:r w:rsidR="006E29C1">
              <w:t>Değerlendirme sonucunda evrak</w:t>
            </w:r>
            <w:r w:rsidR="0092137B">
              <w:t>lar</w:t>
            </w:r>
            <w:r w:rsidR="006E29C1">
              <w:t>da eksiklik veya uyumsuzluk tespit edilmesi durumunda eksikliklerin giderilmesi için  üretici/ihracatçı veya temsilcisi  bilgilendirilir.</w:t>
            </w:r>
          </w:p>
          <w:p w:rsidR="006622CE" w:rsidRDefault="006E29C1" w:rsidP="00FD51E7">
            <w:pPr>
              <w:ind w:left="172"/>
              <w:jc w:val="both"/>
            </w:pPr>
            <w:r>
              <w:t xml:space="preserve">          5-Dosyanın tam olması veya eksiklik giderilmesi durumunda </w:t>
            </w:r>
            <w:r w:rsidR="009C58DB">
              <w:t>kontrol görevlisi</w:t>
            </w:r>
            <w:r w:rsidR="006622CE">
              <w:t xml:space="preserve"> tarafından  ihracattan geri dönen ürünün ihraç edilen ürün olduğuna dair  tespit yapı</w:t>
            </w:r>
            <w:r w:rsidR="00DC7335">
              <w:t xml:space="preserve">ldıktan sonra geri dönme nedeni </w:t>
            </w:r>
            <w:r w:rsidR="006622CE">
              <w:t>de dikkate alınarak resmi kontrole tabii tutulur.</w:t>
            </w:r>
            <w:r w:rsidR="00363DF9">
              <w:t xml:space="preserve"> </w:t>
            </w:r>
            <w:r w:rsidR="006622CE">
              <w:t>İnsan,</w:t>
            </w:r>
            <w:r w:rsidR="00363DF9">
              <w:t xml:space="preserve"> </w:t>
            </w:r>
            <w:r w:rsidR="006622CE">
              <w:t xml:space="preserve">hayvan  ve bitki  sağlığı açısından  tehlike oluşturacağı  düşünülen  veya şüpheli hallerde üründen numune alınır. </w:t>
            </w:r>
            <w:r w:rsidR="009C58DB">
              <w:t xml:space="preserve"> </w:t>
            </w:r>
          </w:p>
          <w:p w:rsidR="006E29C1" w:rsidRDefault="006E29C1" w:rsidP="00FD51E7">
            <w:pPr>
              <w:ind w:left="172"/>
              <w:jc w:val="both"/>
            </w:pPr>
            <w:r>
              <w:t xml:space="preserve">  </w:t>
            </w:r>
            <w:r w:rsidR="009C58DB">
              <w:t xml:space="preserve">       6-</w:t>
            </w:r>
            <w:r w:rsidR="00363DF9">
              <w:t>Son tüketim tarihi geçmiş ve/veya çürümüş ve/veya yabancı madde karışmış ve/veya bozulmuş  ürünlerin yurda girişine  izin verilmez. Tavsiye edilen tüketim tarihi geçmiş ürünlerin  resmi kontrol sonucunun  Türk gıda/yem  mevzuatına uygun olması durumunda  yurda girişine izin verilir.</w:t>
            </w:r>
          </w:p>
          <w:p w:rsidR="00E60F77" w:rsidRDefault="009C58DB" w:rsidP="00FD51E7">
            <w:pPr>
              <w:ind w:left="172"/>
              <w:jc w:val="both"/>
            </w:pPr>
            <w:r>
              <w:t xml:space="preserve">       7-</w:t>
            </w:r>
            <w:r w:rsidR="00E60F77">
              <w:t>Alınan numuneler Bakanlıkça uygun görülen laboratuvara elden</w:t>
            </w:r>
            <w:r w:rsidR="00363DF9">
              <w:t xml:space="preserve"> teslim edilir.</w:t>
            </w:r>
            <w:r w:rsidR="00E60F77">
              <w:t xml:space="preserve"> Laboratuvar İl dışında ise  kargo ile gönderilir.</w:t>
            </w:r>
          </w:p>
          <w:p w:rsidR="00363DF9" w:rsidRDefault="00E60F77" w:rsidP="00FD51E7">
            <w:pPr>
              <w:ind w:left="172"/>
              <w:jc w:val="both"/>
            </w:pPr>
            <w:r>
              <w:t xml:space="preserve">      8- Numune analiz sonuçları alıcı ülkenin talepleri doğrultusunda, alıcı ülkenin talebi yoksa Türk Gıda Kodeksi’ne uygunluğu açısından değerlendirilir.</w:t>
            </w:r>
          </w:p>
          <w:p w:rsidR="00954B22" w:rsidRDefault="00363DF9" w:rsidP="00954B22">
            <w:pPr>
              <w:ind w:left="172"/>
              <w:jc w:val="both"/>
            </w:pPr>
            <w:r>
              <w:t xml:space="preserve">     9- Resmi kontrol sonucunda  Türk</w:t>
            </w:r>
            <w:r w:rsidR="00C1066C">
              <w:t xml:space="preserve"> </w:t>
            </w:r>
            <w:r>
              <w:t xml:space="preserve"> gıda/yem mevzu</w:t>
            </w:r>
            <w:r w:rsidR="002374FB">
              <w:t>a</w:t>
            </w:r>
            <w:r>
              <w:t>tına uygun</w:t>
            </w:r>
            <w:r w:rsidR="00051023">
              <w:t xml:space="preserve"> olan</w:t>
            </w:r>
            <w:r w:rsidR="002374FB">
              <w:t xml:space="preserve"> ürünler hakkında  gümrüğe yazı  yazılır,</w:t>
            </w:r>
            <w:r w:rsidR="001C799D">
              <w:t xml:space="preserve"> </w:t>
            </w:r>
            <w:r w:rsidR="00044283">
              <w:t>paraflı olan resmi yazı</w:t>
            </w:r>
            <w:r w:rsidR="00954B22">
              <w:t xml:space="preserve"> ilgili personel tarafından dosyalanır.</w:t>
            </w:r>
          </w:p>
          <w:p w:rsidR="0070112F" w:rsidRPr="0070112F" w:rsidRDefault="0070112F" w:rsidP="00954B22">
            <w:pPr>
              <w:ind w:left="172"/>
              <w:jc w:val="both"/>
              <w:rPr>
                <w:b/>
              </w:rPr>
            </w:pPr>
            <w:r w:rsidRPr="0070112F">
              <w:rPr>
                <w:b/>
              </w:rPr>
              <w:t>- Resmi kontrol sonucunda  Türk  gıda/yem mevzuatına uygun olmadığının tespiti durumunda</w:t>
            </w:r>
            <w:r>
              <w:rPr>
                <w:b/>
              </w:rPr>
              <w:t xml:space="preserve"> işlemler devam eder.</w:t>
            </w:r>
          </w:p>
          <w:p w:rsidR="00051023" w:rsidRDefault="006B0022" w:rsidP="00954B22">
            <w:pPr>
              <w:ind w:left="172"/>
              <w:jc w:val="both"/>
            </w:pPr>
            <w:r>
              <w:t>10-</w:t>
            </w:r>
            <w:r w:rsidR="00051023">
              <w:t>Resmi kontrol sonucunda Türk gıda/yem  mevzuatına  uygun olmadığı tespit edilen ürünler hakkında ihracatçı bilgilendirilir. İhracatçının  7 gün içerisinde yazılı talebi olması durumunda  ;</w:t>
            </w:r>
          </w:p>
          <w:p w:rsidR="00051023" w:rsidRPr="0070112F" w:rsidRDefault="00051023" w:rsidP="00954B22">
            <w:pPr>
              <w:ind w:left="172"/>
              <w:jc w:val="both"/>
              <w:rPr>
                <w:b/>
              </w:rPr>
            </w:pPr>
            <w:r w:rsidRPr="0070112F">
              <w:rPr>
                <w:b/>
              </w:rPr>
              <w:t>-</w:t>
            </w:r>
            <w:r w:rsidR="0070112F" w:rsidRPr="0070112F">
              <w:rPr>
                <w:b/>
              </w:rPr>
              <w:t>S</w:t>
            </w:r>
            <w:r w:rsidRPr="0070112F">
              <w:rPr>
                <w:b/>
              </w:rPr>
              <w:t>ağlık için tehlike oluşturanlar hariç;</w:t>
            </w:r>
          </w:p>
          <w:p w:rsidR="00051023" w:rsidRDefault="00051023" w:rsidP="00954B22">
            <w:pPr>
              <w:ind w:left="172"/>
              <w:jc w:val="both"/>
            </w:pPr>
            <w:r>
              <w:t xml:space="preserve">1-Alıcı ülkenin mevzuatına uygun olması ya da Alıcı ülkeye ürünlerle ilgili açıklama yapılması ve bahse konu ürünün alıcı ülke </w:t>
            </w:r>
            <w:r>
              <w:lastRenderedPageBreak/>
              <w:t>tarafından  kabul edileceğine dair  resmi yazının firma temsilcisi tarafından beyan edilmesi durumunda,</w:t>
            </w:r>
          </w:p>
          <w:p w:rsidR="00051023" w:rsidRDefault="00051023" w:rsidP="00954B22">
            <w:pPr>
              <w:ind w:left="172"/>
              <w:jc w:val="both"/>
            </w:pPr>
            <w:r>
              <w:t>2-Geri dönen ürünün özel işleme tabi tutulmak üzere</w:t>
            </w:r>
            <w:r w:rsidR="0070112F">
              <w:t>(T</w:t>
            </w:r>
            <w:r w:rsidR="006B0022">
              <w:t>ürk gıda/yem mevzuatı veya gönderileceği ülkenin mevzuatı ile uyumlu hale getirilmesi için seyreltme hariç,</w:t>
            </w:r>
            <w:r w:rsidR="0070112F">
              <w:t xml:space="preserve"> </w:t>
            </w:r>
            <w:r w:rsidR="006B0022">
              <w:t>bir kereye mahsus işlenebilir veya özel işleme tabii tutulabilir.)</w:t>
            </w:r>
          </w:p>
          <w:p w:rsidR="00051023" w:rsidRDefault="00051023" w:rsidP="00954B22">
            <w:pPr>
              <w:ind w:left="172"/>
              <w:jc w:val="both"/>
            </w:pPr>
            <w:r>
              <w:t>3-</w:t>
            </w:r>
            <w:r w:rsidR="006B0022">
              <w:t>İlgili mevzuatında belirtilen şartları karşılaması halinde,</w:t>
            </w:r>
            <w:r w:rsidR="006F4151">
              <w:t xml:space="preserve"> </w:t>
            </w:r>
            <w:r w:rsidR="006B0022">
              <w:t>ürün özelliği ve kullanım amacı  dikkate alınarak ürünün ilk kullanım amacı dışında başka bir kullanım amaçlı yurda girişine izi</w:t>
            </w:r>
            <w:r w:rsidR="006F4151">
              <w:t>n verilebilir an</w:t>
            </w:r>
            <w:r w:rsidR="006B0022">
              <w:t>cak bu durumda ihraç edilen gıdanın tekrar gıda,</w:t>
            </w:r>
            <w:r w:rsidR="006F4151">
              <w:t xml:space="preserve"> </w:t>
            </w:r>
            <w:r w:rsidR="006B0022">
              <w:t>yemin tekrar yem veya yemin gıda  olarak kullanım amaçlı yurda girişine izin verilmez.</w:t>
            </w:r>
          </w:p>
          <w:p w:rsidR="006B0022" w:rsidRDefault="006B0022" w:rsidP="00954B22">
            <w:pPr>
              <w:ind w:left="172"/>
              <w:jc w:val="both"/>
            </w:pPr>
            <w:r>
              <w:t xml:space="preserve">Bu üç maddeye göre değerlendirilmesi mümkün olmayan ürünler bakanlık gözetiminde imha edilir. </w:t>
            </w:r>
          </w:p>
          <w:p w:rsidR="006B0022" w:rsidRDefault="006B0022" w:rsidP="00954B22">
            <w:pPr>
              <w:ind w:left="172"/>
              <w:jc w:val="both"/>
            </w:pPr>
            <w:r>
              <w:t>11-Resmi kontrol sonucunda  Türk  gıda/yem mevzuatına uygun olmadığı tespit edilen  ve yukarıdaki  maddeler kapsamında değerlendirilmek üzere 7 gün içerisinde başvurusu yapılmayan ürünlerin yurda girişinin uygun olmadığı ilgili gümrük müdürlüğüne yazı</w:t>
            </w:r>
            <w:r w:rsidR="00AE3A7C">
              <w:t xml:space="preserve">  ile bildirilir,</w:t>
            </w:r>
            <w:r>
              <w:t xml:space="preserve"> paraflı olan resmi yazı ilgili personel tarafından dosyalanır</w:t>
            </w:r>
          </w:p>
          <w:p w:rsidR="00051023" w:rsidRDefault="00051023" w:rsidP="00954B22">
            <w:pPr>
              <w:ind w:left="172"/>
              <w:jc w:val="both"/>
            </w:pPr>
          </w:p>
          <w:p w:rsidR="00051023" w:rsidRDefault="00051023" w:rsidP="00954B22">
            <w:pPr>
              <w:ind w:left="172"/>
              <w:jc w:val="both"/>
            </w:pPr>
          </w:p>
          <w:p w:rsidR="00772FE8" w:rsidRDefault="00B854DD" w:rsidP="00FD51E7">
            <w:pPr>
              <w:ind w:left="172"/>
              <w:jc w:val="both"/>
            </w:pPr>
            <w:r>
              <w:t xml:space="preserve"> </w:t>
            </w:r>
            <w:r w:rsidR="00772FE8">
              <w:t xml:space="preserve">       </w:t>
            </w:r>
            <w:r w:rsidR="00F430D6">
              <w:t xml:space="preserve"> </w:t>
            </w:r>
            <w:r w:rsidR="00E52D62">
              <w:t xml:space="preserve">   </w:t>
            </w:r>
          </w:p>
          <w:p w:rsidR="00CA3670" w:rsidRPr="003F1FDC" w:rsidRDefault="00242A1B" w:rsidP="00954B22">
            <w:pPr>
              <w:ind w:left="172"/>
              <w:jc w:val="both"/>
            </w:pPr>
            <w:r>
              <w:t xml:space="preserve">          </w:t>
            </w: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Pr="004B4A7D" w:rsidRDefault="007A51A4" w:rsidP="002E063F">
            <w:pPr>
              <w:tabs>
                <w:tab w:val="left" w:pos="186"/>
              </w:tabs>
            </w:pPr>
            <w:r>
              <w:t>İhracattan Geri Gelen Ürün Başvuru Dosyası</w:t>
            </w:r>
            <w:r w:rsidRPr="004B4A7D"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103B4E" w:rsidRDefault="006D65BB" w:rsidP="00103B4E">
            <w:pPr>
              <w:ind w:left="172"/>
              <w:jc w:val="both"/>
            </w:pPr>
            <w:r>
              <w:t xml:space="preserve"> </w:t>
            </w:r>
            <w:r w:rsidR="002B0F16">
              <w:t xml:space="preserve">Gümrüğe </w:t>
            </w:r>
            <w:r w:rsidR="00772008">
              <w:t>yazılan u</w:t>
            </w:r>
            <w:r>
              <w:t>ygunluk</w:t>
            </w:r>
            <w:r w:rsidR="002B0F16">
              <w:t xml:space="preserve"> /uygunsuzluk </w:t>
            </w:r>
            <w:r>
              <w:t xml:space="preserve"> </w:t>
            </w:r>
            <w:r w:rsidR="00103B4E">
              <w:t xml:space="preserve">  Yazı</w:t>
            </w:r>
            <w:r>
              <w:t>sı</w:t>
            </w:r>
          </w:p>
          <w:p w:rsidR="00CA3670" w:rsidRPr="004B4A7D" w:rsidRDefault="00CA3670" w:rsidP="00125A4B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8344A1" w:rsidRDefault="007A51A4" w:rsidP="008344A1">
            <w:pPr>
              <w:tabs>
                <w:tab w:val="left" w:pos="186"/>
              </w:tabs>
              <w:spacing w:after="0" w:line="240" w:lineRule="auto"/>
            </w:pPr>
            <w:r>
              <w:t>İhracattan Geri Gelen Ürün Başvuru Dosyası</w:t>
            </w:r>
            <w:r w:rsidRPr="00B15FE6">
              <w:t xml:space="preserve"> </w:t>
            </w:r>
            <w:r w:rsidR="008344A1" w:rsidRPr="00B15FE6">
              <w:t>Başvurusu</w:t>
            </w:r>
            <w:r w:rsidR="008344A1">
              <w:t xml:space="preserve">nda bulunan üretici/ihracatçı veya temsilcisi </w:t>
            </w:r>
          </w:p>
          <w:p w:rsidR="003234D7" w:rsidRDefault="003234D7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CA3670" w:rsidRPr="001D65D2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EF73CD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EF73CD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lastRenderedPageBreak/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lastRenderedPageBreak/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 tüm mevzuat.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8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96754A" w:rsidRDefault="0096754A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EF73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EF73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A45695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Cevap bazlı izleme</w:t>
            </w:r>
            <w:r w:rsidR="00CA3670"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CE603D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Denetim</w:t>
            </w:r>
            <w:r w:rsidR="00EF73CD">
              <w:t xml:space="preserve"> ve Kontrol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Default="00CE603D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A3670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İlgili Personel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3670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GGBS kayıt.</w:t>
            </w:r>
          </w:p>
          <w:p w:rsidR="00EF73CD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Gümrüğe yazılan yazının dosyalanması ve arşivlenmesi.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222509" w:rsidP="00CE603D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Bütün </w:t>
            </w:r>
            <w:r w:rsidR="00CE603D">
              <w:rPr>
                <w:rFonts w:ascii="Times New Roman" w:hAnsi="Times New Roman" w:cs="Times New Roman"/>
                <w:bCs/>
                <w:sz w:val="24"/>
                <w:szCs w:val="24"/>
              </w:rPr>
              <w:t>başvuruları en kısa sürede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cevap</w:t>
            </w:r>
            <w:r w:rsidR="00FE09FA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CA3670" w:rsidRPr="00780948" w:rsidRDefault="00CA3670" w:rsidP="00CE603D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CE603D">
              <w:t>İşin sonlandırılmış olması</w:t>
            </w:r>
            <w:r w:rsidR="002710B9">
              <w:t xml:space="preserve"> başarı performansı % 100 olur.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96754A">
              <w:rPr>
                <w:sz w:val="16"/>
                <w:szCs w:val="16"/>
              </w:rPr>
              <w:t>59.İLM.KYS.036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04B8E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04B8E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1753F2">
              <w:rPr>
                <w:b/>
                <w:bCs/>
                <w:noProof/>
                <w:sz w:val="16"/>
                <w:szCs w:val="16"/>
              </w:rPr>
              <w:t>8</w:t>
            </w:r>
            <w:r w:rsidR="00B04B8E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1753F2" w:rsidRPr="001753F2">
                <w:rPr>
                  <w:b/>
                  <w:bCs/>
                  <w:noProof/>
                  <w:sz w:val="16"/>
                  <w:szCs w:val="16"/>
                </w:rPr>
                <w:t>11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Pr="00114DC9" w:rsidRDefault="00EF73CD" w:rsidP="00EF73CD">
            <w:r>
              <w:rPr>
                <w:b/>
              </w:rPr>
              <w:t>İ</w:t>
            </w:r>
            <w:r w:rsidRPr="0070112F">
              <w:rPr>
                <w:b/>
              </w:rPr>
              <w:t>h</w:t>
            </w:r>
            <w:r>
              <w:rPr>
                <w:b/>
              </w:rPr>
              <w:t>racattan geri Dönen Ürün İşlemleri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873380" w:rsidP="0045061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Bütün başvuru bildirimlerini zamanında cevap</w:t>
            </w:r>
            <w:r w:rsidR="00450616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137476" w:rsidP="002E063F">
            <w:r>
              <w:t xml:space="preserve">Zamanında cevap verildiyse başarı performansı % 100 </w:t>
            </w:r>
            <w:r w:rsidR="0043438C">
              <w:t>olur</w:t>
            </w:r>
          </w:p>
        </w:tc>
        <w:tc>
          <w:tcPr>
            <w:tcW w:w="1035" w:type="dxa"/>
          </w:tcPr>
          <w:p w:rsidR="00CA3670" w:rsidRDefault="00703F98" w:rsidP="00ED7591">
            <w:pPr>
              <w:jc w:val="center"/>
            </w:pPr>
            <w:r>
              <w:t>Her gün</w:t>
            </w:r>
          </w:p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E70ACE" w:rsidP="002E063F">
            <w:r>
              <w:t>Yetkili ve görevli personel her gün sisteme giriş yaparak bildirimleri kontrol eder</w:t>
            </w: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96754A">
              <w:rPr>
                <w:sz w:val="16"/>
                <w:szCs w:val="16"/>
              </w:rPr>
              <w:t>59.İLM.KYS.036</w:t>
            </w:r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04B8E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04B8E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1753F2">
              <w:rPr>
                <w:b/>
                <w:bCs/>
                <w:noProof/>
                <w:sz w:val="16"/>
                <w:szCs w:val="16"/>
              </w:rPr>
              <w:t>9</w:t>
            </w:r>
            <w:r w:rsidR="00B04B8E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1753F2" w:rsidRPr="001753F2">
                <w:rPr>
                  <w:b/>
                  <w:bCs/>
                  <w:noProof/>
                  <w:sz w:val="16"/>
                  <w:szCs w:val="16"/>
                </w:rPr>
                <w:t>11</w:t>
              </w:r>
            </w:fldSimple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0BBE">
              <w:rPr>
                <w:rFonts w:ascii="Times New Roman" w:eastAsia="Times New Roman" w:hAnsi="Times New Roman" w:cs="Times New Roman"/>
                <w:color w:val="000000"/>
              </w:rPr>
              <w:t>Zamanında cevap verememek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EF73CD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195B56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Bildirim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takip edilmeli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yerinde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yeniden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kontroller yapılmalı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4A" w:rsidRDefault="0096754A" w:rsidP="0096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Düşük </w:t>
            </w:r>
          </w:p>
          <w:p w:rsidR="0096754A" w:rsidRDefault="0096754A" w:rsidP="0096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</w:t>
            </w:r>
          </w:p>
          <w:p w:rsidR="00CA3670" w:rsidRPr="00FF3334" w:rsidRDefault="00CA3670" w:rsidP="0096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F73CD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EF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r w:rsidR="00FD59D8">
              <w:rPr>
                <w:rFonts w:ascii="Times New Roman" w:eastAsia="Times New Roman" w:hAnsi="Times New Roman" w:cs="Times New Roman"/>
                <w:color w:val="000000"/>
              </w:rPr>
              <w:t>hak ihlali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13F3" w:rsidRPr="00FF3334" w:rsidRDefault="004A13F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Default="004A13F3" w:rsidP="004A13F3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4283"/>
    <w:rsid w:val="0004599F"/>
    <w:rsid w:val="00046327"/>
    <w:rsid w:val="00050AED"/>
    <w:rsid w:val="00051023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7387"/>
    <w:rsid w:val="000812E0"/>
    <w:rsid w:val="00082558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3B4E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9DF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53F2"/>
    <w:rsid w:val="00176945"/>
    <w:rsid w:val="00181050"/>
    <w:rsid w:val="00181442"/>
    <w:rsid w:val="001824C5"/>
    <w:rsid w:val="00182CDC"/>
    <w:rsid w:val="00187D1B"/>
    <w:rsid w:val="00187E85"/>
    <w:rsid w:val="00193D47"/>
    <w:rsid w:val="00194E4E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99D"/>
    <w:rsid w:val="001C7A00"/>
    <w:rsid w:val="001D4FF3"/>
    <w:rsid w:val="001D55AD"/>
    <w:rsid w:val="001D589E"/>
    <w:rsid w:val="001E00E8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4FB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0F16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1E14"/>
    <w:rsid w:val="00343AD4"/>
    <w:rsid w:val="00347B74"/>
    <w:rsid w:val="003525EC"/>
    <w:rsid w:val="00353150"/>
    <w:rsid w:val="003564F9"/>
    <w:rsid w:val="003566E9"/>
    <w:rsid w:val="00357503"/>
    <w:rsid w:val="003603AB"/>
    <w:rsid w:val="00363DF9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2E6"/>
    <w:rsid w:val="00474D03"/>
    <w:rsid w:val="00475F7F"/>
    <w:rsid w:val="004775E4"/>
    <w:rsid w:val="004808BF"/>
    <w:rsid w:val="00480DC4"/>
    <w:rsid w:val="00481900"/>
    <w:rsid w:val="004842F6"/>
    <w:rsid w:val="00484D36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52F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2CE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5EE6"/>
    <w:rsid w:val="00696657"/>
    <w:rsid w:val="006968CB"/>
    <w:rsid w:val="00697602"/>
    <w:rsid w:val="006A017B"/>
    <w:rsid w:val="006A21AD"/>
    <w:rsid w:val="006A252E"/>
    <w:rsid w:val="006A38F3"/>
    <w:rsid w:val="006B0022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65BB"/>
    <w:rsid w:val="006D7E6E"/>
    <w:rsid w:val="006E29C1"/>
    <w:rsid w:val="006E47E4"/>
    <w:rsid w:val="006F12D3"/>
    <w:rsid w:val="006F1F92"/>
    <w:rsid w:val="006F4151"/>
    <w:rsid w:val="006F5025"/>
    <w:rsid w:val="006F6337"/>
    <w:rsid w:val="006F72BE"/>
    <w:rsid w:val="0070112F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08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5075"/>
    <w:rsid w:val="007A51A4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05B2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4A1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3124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37B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4B22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6754A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8D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4F0D"/>
    <w:rsid w:val="00A95686"/>
    <w:rsid w:val="00A96F23"/>
    <w:rsid w:val="00A97DA5"/>
    <w:rsid w:val="00AA14C5"/>
    <w:rsid w:val="00AA3B6B"/>
    <w:rsid w:val="00AB14D3"/>
    <w:rsid w:val="00AB190A"/>
    <w:rsid w:val="00AB1D91"/>
    <w:rsid w:val="00AB42DA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3A7C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B8E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5FE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54DD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3E30"/>
    <w:rsid w:val="00BB40EC"/>
    <w:rsid w:val="00BB55B1"/>
    <w:rsid w:val="00BC3E3E"/>
    <w:rsid w:val="00BC48E3"/>
    <w:rsid w:val="00BD2C2C"/>
    <w:rsid w:val="00BD35F6"/>
    <w:rsid w:val="00BD3BE7"/>
    <w:rsid w:val="00BD70C7"/>
    <w:rsid w:val="00BE40BF"/>
    <w:rsid w:val="00BE52C0"/>
    <w:rsid w:val="00BE5ED6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066C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0C8B"/>
    <w:rsid w:val="00CE1099"/>
    <w:rsid w:val="00CE4EDE"/>
    <w:rsid w:val="00CE603D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C733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0F77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3CD"/>
    <w:rsid w:val="00EF7441"/>
    <w:rsid w:val="00EF7BD9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4B8F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59D8"/>
    <w:rsid w:val="00FD7430"/>
    <w:rsid w:val="00FD770C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4E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DE52A4-003D-4608-BFDF-02D470D0C88E}"/>
</file>

<file path=customXml/itemProps2.xml><?xml version="1.0" encoding="utf-8"?>
<ds:datastoreItem xmlns:ds="http://schemas.openxmlformats.org/officeDocument/2006/customXml" ds:itemID="{C77E758F-2447-4137-B5F0-B22539866AB2}"/>
</file>

<file path=customXml/itemProps3.xml><?xml version="1.0" encoding="utf-8"?>
<ds:datastoreItem xmlns:ds="http://schemas.openxmlformats.org/officeDocument/2006/customXml" ds:itemID="{D187A41D-92E0-4B2E-98C4-3FC4A59DD9D0}"/>
</file>

<file path=customXml/itemProps4.xml><?xml version="1.0" encoding="utf-8"?>
<ds:datastoreItem xmlns:ds="http://schemas.openxmlformats.org/officeDocument/2006/customXml" ds:itemID="{030B39C0-8BAD-48EA-A7C7-128ACD66F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2018-02-26T10:06:00Z</cp:lastPrinted>
  <dcterms:created xsi:type="dcterms:W3CDTF">2018-03-10T20:01:00Z</dcterms:created>
  <dcterms:modified xsi:type="dcterms:W3CDTF">2018-04-01T07:41:00Z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